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A00" w:rsidRPr="008D78EB" w:rsidRDefault="00D12310" w:rsidP="00E82A00">
      <w:pPr>
        <w:jc w:val="center"/>
        <w:rPr>
          <w:b/>
          <w:lang w:val="nl-NL"/>
        </w:rPr>
      </w:pPr>
      <w:r>
        <w:rPr>
          <w:b/>
          <w:lang w:val="nl-NL"/>
        </w:rPr>
        <w:t>PHỤ LỤC I</w:t>
      </w:r>
    </w:p>
    <w:p w:rsidR="009A20F3" w:rsidRDefault="00E82A00" w:rsidP="00E82A00">
      <w:pPr>
        <w:jc w:val="center"/>
        <w:rPr>
          <w:b/>
          <w:lang w:val="pt-BR"/>
        </w:rPr>
      </w:pPr>
      <w:r w:rsidRPr="003A52E7">
        <w:rPr>
          <w:b/>
          <w:lang w:val="pt-BR"/>
        </w:rPr>
        <w:t>D</w:t>
      </w:r>
      <w:r>
        <w:rPr>
          <w:b/>
          <w:lang w:val="pt-BR"/>
        </w:rPr>
        <w:t xml:space="preserve">ANH MỤC THỦ TỤC HÀNH CHÍNH CHUẨN HÓA TRONG </w:t>
      </w:r>
      <w:r w:rsidRPr="003A52E7">
        <w:rPr>
          <w:b/>
        </w:rPr>
        <w:t xml:space="preserve">LĨNH VỰC </w:t>
      </w:r>
      <w:r>
        <w:rPr>
          <w:b/>
          <w:lang w:val="en-US"/>
        </w:rPr>
        <w:t>THỦY LỢI</w:t>
      </w:r>
    </w:p>
    <w:p w:rsidR="00E82A00" w:rsidRPr="009A20F3" w:rsidRDefault="00E82A00" w:rsidP="00E82A00">
      <w:pPr>
        <w:jc w:val="center"/>
        <w:rPr>
          <w:b/>
          <w:lang w:val="pt-BR"/>
        </w:rPr>
      </w:pPr>
      <w:r w:rsidRPr="003A52E7">
        <w:rPr>
          <w:b/>
          <w:lang w:val="pt-BR"/>
        </w:rPr>
        <w:t xml:space="preserve">THUỘC </w:t>
      </w:r>
      <w:r>
        <w:rPr>
          <w:b/>
          <w:lang w:val="pt-BR"/>
        </w:rPr>
        <w:t xml:space="preserve">THẨM QUYỀN QUẢN LÝ, GIẢI QUYẾT </w:t>
      </w:r>
      <w:r w:rsidRPr="003A52E7">
        <w:rPr>
          <w:b/>
          <w:lang w:val="pt-BR"/>
        </w:rPr>
        <w:t xml:space="preserve">CỦA </w:t>
      </w:r>
      <w:r>
        <w:rPr>
          <w:b/>
          <w:bCs/>
          <w:lang w:val="en-US"/>
        </w:rPr>
        <w:t xml:space="preserve">UBND CẤP HUYỆN, UBND CẤP XÃ </w:t>
      </w:r>
      <w:r w:rsidRPr="003A52E7">
        <w:rPr>
          <w:b/>
          <w:lang w:val="pt-BR"/>
        </w:rPr>
        <w:t xml:space="preserve">TRÊN ĐỊA BÀN </w:t>
      </w:r>
      <w:r w:rsidR="00B378E3">
        <w:rPr>
          <w:b/>
          <w:lang w:val="pt-BR"/>
        </w:rPr>
        <w:t>TỈNH</w:t>
      </w:r>
      <w:r w:rsidR="00F17164">
        <w:rPr>
          <w:b/>
          <w:lang w:val="pt-BR"/>
        </w:rPr>
        <w:t xml:space="preserve"> </w:t>
      </w:r>
      <w:r w:rsidRPr="003A52E7">
        <w:rPr>
          <w:b/>
          <w:lang w:val="pt-BR"/>
        </w:rPr>
        <w:t>QUẢNG NGÃI</w:t>
      </w:r>
      <w:r>
        <w:rPr>
          <w:b/>
          <w:bCs/>
        </w:rPr>
        <w:br/>
      </w:r>
      <w:r w:rsidRPr="00314FCB">
        <w:rPr>
          <w:i/>
          <w:lang w:val="nl-NL"/>
        </w:rPr>
        <w:t>(</w:t>
      </w:r>
      <w:r>
        <w:rPr>
          <w:i/>
          <w:lang w:val="nl-NL"/>
        </w:rPr>
        <w:t xml:space="preserve">Kèm theo Quyết định số </w:t>
      </w:r>
      <w:r w:rsidR="00B378E3">
        <w:rPr>
          <w:i/>
          <w:lang w:val="nl-NL"/>
        </w:rPr>
        <w:t>665</w:t>
      </w:r>
      <w:r w:rsidRPr="00314FCB">
        <w:rPr>
          <w:i/>
          <w:lang w:val="nl-NL"/>
        </w:rPr>
        <w:t>/</w:t>
      </w:r>
      <w:r>
        <w:rPr>
          <w:i/>
          <w:lang w:val="nl-NL"/>
        </w:rPr>
        <w:t>QĐ-UBND</w:t>
      </w:r>
      <w:r w:rsidRPr="00314FCB">
        <w:rPr>
          <w:i/>
          <w:lang w:val="nl-NL"/>
        </w:rPr>
        <w:t xml:space="preserve"> ngày</w:t>
      </w:r>
      <w:r w:rsidR="00B378E3">
        <w:rPr>
          <w:i/>
          <w:lang w:val="nl-NL"/>
        </w:rPr>
        <w:t xml:space="preserve"> 05</w:t>
      </w:r>
      <w:r>
        <w:rPr>
          <w:i/>
          <w:lang w:val="nl-NL"/>
        </w:rPr>
        <w:t>/</w:t>
      </w:r>
      <w:r w:rsidR="00B378E3">
        <w:rPr>
          <w:i/>
          <w:lang w:val="nl-NL"/>
        </w:rPr>
        <w:t>5</w:t>
      </w:r>
      <w:r w:rsidRPr="00314FCB">
        <w:rPr>
          <w:i/>
          <w:lang w:val="nl-NL"/>
        </w:rPr>
        <w:t>/2025 của</w:t>
      </w:r>
      <w:r>
        <w:rPr>
          <w:i/>
          <w:lang w:val="nl-NL"/>
        </w:rPr>
        <w:t xml:space="preserve"> </w:t>
      </w:r>
      <w:r w:rsidR="00B378E3">
        <w:rPr>
          <w:i/>
          <w:lang w:val="nl-NL"/>
        </w:rPr>
        <w:t xml:space="preserve">UBND tỉnh </w:t>
      </w:r>
      <w:r>
        <w:rPr>
          <w:i/>
          <w:lang w:val="nl-NL"/>
        </w:rPr>
        <w:t>Quảng Ngãi</w:t>
      </w:r>
      <w:r w:rsidRPr="00314FCB">
        <w:rPr>
          <w:i/>
          <w:lang w:val="nl-NL"/>
        </w:rPr>
        <w:t>)</w:t>
      </w:r>
    </w:p>
    <w:p w:rsidR="00E82A00" w:rsidRDefault="00E82A00" w:rsidP="00E82A00">
      <w:pPr>
        <w:spacing w:line="240" w:lineRule="atLeast"/>
        <w:jc w:val="center"/>
        <w:rPr>
          <w:b/>
          <w:lang w:val="en-US"/>
        </w:rPr>
      </w:pPr>
      <w:r>
        <w:rPr>
          <w:i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93345</wp:posOffset>
                </wp:positionV>
                <wp:extent cx="1943100" cy="0"/>
                <wp:effectExtent l="8890" t="9525" r="1016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3C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0.75pt;margin-top:7.35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up+p790AAAAJAQAADwAAAGRycy9kb3ducmV2&#10;LnhtbEyPwW7CMBBE75X6D9ZW4lIVO6hASeMghNRDjwWkXk28TdLG6yh2SMrXdxEHetyZp9mZbD26&#10;RpywC7UnDclUgUAqvK2p1HDYvz29gAjRkDWNJ9TwiwHW+f1dZlLrB/rA0y6WgkMopEZDFWObShmK&#10;Cp0JU98isfflO2cin10pbWcGDneNnCm1kM7UxB8q0+K2wuJn1zsNGPp5ojYrVx7ez8Pj5+z8PbR7&#10;rScP4+YVRMQx3mC41OfqkHOno+/JBtFoWKhkzigbz0sQDKzUkoXjVZB5Jv8vyP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up+p790AAAAJAQAADwAAAAAAAAAAAAAAAAASBAAAZHJz&#10;L2Rvd25yZXYueG1sUEsFBgAAAAAEAAQA8wAAABwFAAAAAA==&#10;"/>
            </w:pict>
          </mc:Fallback>
        </mc:AlternateContent>
      </w:r>
    </w:p>
    <w:p w:rsidR="00E82A00" w:rsidRPr="009E22E6" w:rsidRDefault="00D15A58" w:rsidP="00B378E3">
      <w:pPr>
        <w:spacing w:line="240" w:lineRule="atLeast"/>
        <w:jc w:val="both"/>
        <w:rPr>
          <w:b/>
        </w:rPr>
      </w:pPr>
      <w:r>
        <w:rPr>
          <w:b/>
          <w:lang w:val="en-US"/>
        </w:rPr>
        <w:tab/>
      </w:r>
      <w:r w:rsidR="00E82A00" w:rsidRPr="009E22E6">
        <w:rPr>
          <w:b/>
          <w:lang w:val="en-US"/>
        </w:rPr>
        <w:t>DANH MỤC THỦ TỤC HÀNH CHÍNH THUỘC THẨM QUYỀN GIẢI QUYẾT CỦA UBND CẤP HUYỆN (05 TTHC)</w:t>
      </w:r>
    </w:p>
    <w:tbl>
      <w:tblPr>
        <w:tblpPr w:leftFromText="180" w:rightFromText="180" w:vertAnchor="text" w:horzAnchor="margin" w:tblpXSpec="center" w:tblpY="228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984"/>
        <w:gridCol w:w="3827"/>
        <w:gridCol w:w="1077"/>
        <w:gridCol w:w="3807"/>
      </w:tblGrid>
      <w:tr w:rsidR="00FF0FB4" w:rsidRPr="009E22E6" w:rsidTr="00D15A58"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84778D">
            <w:pPr>
              <w:ind w:left="-142" w:right="-108"/>
              <w:jc w:val="center"/>
              <w:rPr>
                <w:b/>
              </w:rPr>
            </w:pPr>
            <w:r w:rsidRPr="009E22E6">
              <w:rPr>
                <w:b/>
              </w:rPr>
              <w:t>STT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en-US"/>
              </w:rPr>
            </w:pPr>
            <w:r w:rsidRPr="009E22E6">
              <w:rPr>
                <w:b/>
              </w:rPr>
              <w:t xml:space="preserve">Tên thủ tục </w:t>
            </w:r>
          </w:p>
          <w:p w:rsidR="00FF0FB4" w:rsidRPr="009E22E6" w:rsidRDefault="00FF0FB4" w:rsidP="0084778D">
            <w:pPr>
              <w:jc w:val="center"/>
              <w:rPr>
                <w:b/>
              </w:rPr>
            </w:pPr>
            <w:r w:rsidRPr="009E22E6">
              <w:rPr>
                <w:b/>
              </w:rPr>
              <w:t>hành chính</w:t>
            </w:r>
          </w:p>
        </w:tc>
        <w:tc>
          <w:tcPr>
            <w:tcW w:w="1984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 xml:space="preserve">Thời gian </w:t>
            </w:r>
          </w:p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giải quyết</w:t>
            </w:r>
          </w:p>
        </w:tc>
        <w:tc>
          <w:tcPr>
            <w:tcW w:w="3827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 xml:space="preserve">Đia điểm, cách thức </w:t>
            </w:r>
          </w:p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thực hiện</w:t>
            </w:r>
          </w:p>
        </w:tc>
        <w:tc>
          <w:tcPr>
            <w:tcW w:w="1077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Phí, lệ phí</w:t>
            </w:r>
          </w:p>
        </w:tc>
        <w:tc>
          <w:tcPr>
            <w:tcW w:w="3807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Căn cứ pháp lý</w:t>
            </w:r>
          </w:p>
        </w:tc>
      </w:tr>
      <w:tr w:rsidR="00FF0FB4" w:rsidRPr="009E22E6" w:rsidTr="00B274D2">
        <w:trPr>
          <w:trHeight w:val="2028"/>
        </w:trPr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D15A58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t>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E22E6">
              <w:t>Phê duyệt, điều</w:t>
            </w:r>
            <w:r w:rsidRPr="009E22E6">
              <w:rPr>
                <w:lang w:val="en-US"/>
              </w:rPr>
              <w:t xml:space="preserve"> </w:t>
            </w:r>
            <w:r w:rsidRPr="009E22E6">
              <w:t>chỉnh quy trình</w:t>
            </w:r>
            <w:r w:rsidRPr="009E22E6">
              <w:rPr>
                <w:lang w:val="en-US"/>
              </w:rPr>
              <w:t xml:space="preserve"> </w:t>
            </w:r>
            <w:r w:rsidRPr="009E22E6">
              <w:t>vận hành đối với công</w:t>
            </w:r>
            <w:r w:rsidRPr="009E22E6">
              <w:rPr>
                <w:lang w:val="en-US"/>
              </w:rPr>
              <w:t xml:space="preserve"> </w:t>
            </w:r>
            <w:r w:rsidRPr="009E22E6">
              <w:t>trình thủy</w:t>
            </w:r>
            <w:r w:rsidRPr="009E22E6">
              <w:rPr>
                <w:lang w:val="en-US"/>
              </w:rPr>
              <w:t xml:space="preserve"> </w:t>
            </w:r>
            <w:r w:rsidRPr="009E22E6">
              <w:t>lợi lớn và công trình thủy lợi vừa</w:t>
            </w:r>
            <w:r w:rsidRPr="009E22E6">
              <w:rPr>
                <w:lang w:val="en-US"/>
              </w:rPr>
              <w:t xml:space="preserve"> </w:t>
            </w:r>
            <w:r w:rsidRPr="009E22E6">
              <w:t>do UBND cấp</w:t>
            </w:r>
            <w:r w:rsidRPr="009E22E6">
              <w:rPr>
                <w:lang w:val="en-US"/>
              </w:rPr>
              <w:t xml:space="preserve"> t</w:t>
            </w:r>
            <w:r w:rsidRPr="009E22E6">
              <w:t>ỉnh phân cấp</w:t>
            </w:r>
          </w:p>
        </w:tc>
        <w:tc>
          <w:tcPr>
            <w:tcW w:w="1984" w:type="dxa"/>
            <w:vAlign w:val="center"/>
          </w:tcPr>
          <w:p w:rsidR="00FF0FB4" w:rsidRPr="00CC26F0" w:rsidRDefault="00FF0FB4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30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827" w:type="dxa"/>
            <w:vMerge w:val="restart"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lang w:val="pt-BR"/>
              </w:rPr>
            </w:pPr>
            <w:r w:rsidRPr="009E22E6">
              <w:rPr>
                <w:rStyle w:val="fontstyle01"/>
                <w:sz w:val="28"/>
                <w:szCs w:val="28"/>
              </w:rPr>
              <w:t>Nộp hồ sơ, nhận kết quả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giải quyết tại Bộ phận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Một cửa của UBND cấp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huyện thông qua các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cách thức sau:</w:t>
            </w:r>
            <w:r w:rsidRPr="009E22E6">
              <w:rPr>
                <w:color w:val="000000"/>
              </w:rPr>
              <w:br/>
            </w:r>
            <w:r w:rsidR="000128A0"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Trực tiếp.</w:t>
            </w:r>
            <w:r w:rsidRPr="009E22E6">
              <w:rPr>
                <w:color w:val="000000"/>
              </w:rPr>
              <w:br/>
            </w:r>
            <w:r w:rsidR="000128A0"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Qua dịch vụ bưu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chính.</w:t>
            </w:r>
            <w:r w:rsidRPr="009E22E6">
              <w:rPr>
                <w:color w:val="000000"/>
              </w:rPr>
              <w:br/>
            </w:r>
            <w:r w:rsidR="000128A0"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Trực tuyến tại địa chỉ: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0128A0">
                <w:rPr>
                  <w:rStyle w:val="Hyperlink"/>
                  <w:color w:val="000000" w:themeColor="text1"/>
                  <w:u w:val="none"/>
                </w:rPr>
                <w:t>dichvucong.quang</w:t>
              </w:r>
            </w:hyperlink>
            <w:r w:rsidRPr="009E22E6">
              <w:rPr>
                <w:rStyle w:val="fontstyle01"/>
                <w:sz w:val="28"/>
                <w:szCs w:val="28"/>
              </w:rPr>
              <w:t>ngai.g</w:t>
            </w:r>
            <w:r w:rsidR="000128A0">
              <w:rPr>
                <w:rStyle w:val="fontstyle01"/>
                <w:sz w:val="28"/>
                <w:szCs w:val="28"/>
              </w:rPr>
              <w:t>ov.v</w:t>
            </w:r>
            <w:r w:rsidR="000128A0">
              <w:rPr>
                <w:rStyle w:val="fontstyle01"/>
                <w:sz w:val="28"/>
                <w:szCs w:val="28"/>
                <w:lang w:val="en-US"/>
              </w:rPr>
              <w:t>n;</w:t>
            </w:r>
            <w:r>
              <w:rPr>
                <w:lang w:val="en-US"/>
              </w:rPr>
              <w:t xml:space="preserve"> hoặc </w:t>
            </w:r>
            <w:r w:rsidRPr="009E22E6">
              <w:rPr>
                <w:rStyle w:val="fontstyle01"/>
                <w:sz w:val="28"/>
                <w:szCs w:val="28"/>
              </w:rPr>
              <w:t>dichvucong.gov.vn</w:t>
            </w:r>
          </w:p>
        </w:tc>
        <w:tc>
          <w:tcPr>
            <w:tcW w:w="1077" w:type="dxa"/>
            <w:vMerge w:val="restart"/>
            <w:vAlign w:val="center"/>
          </w:tcPr>
          <w:p w:rsidR="00FF0FB4" w:rsidRPr="00FF0FB4" w:rsidRDefault="00FF0FB4" w:rsidP="0084778D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Không</w:t>
            </w:r>
          </w:p>
        </w:tc>
        <w:tc>
          <w:tcPr>
            <w:tcW w:w="3807" w:type="dxa"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rStyle w:val="fontstyle01"/>
                <w:sz w:val="28"/>
                <w:szCs w:val="28"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Luật Thủy lợi ngày 19/6/2017.</w:t>
            </w:r>
          </w:p>
          <w:p w:rsidR="00FF0FB4" w:rsidRPr="009E22E6" w:rsidRDefault="00FF0FB4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Thông tư số 05/2018/TT-BNNPTNT ngày 15/5/2018 của Bộ Nông nghiệp và Phát triển nông thôn quy định chi tiết một số điều của Luật Thủy lợi.</w:t>
            </w:r>
          </w:p>
        </w:tc>
      </w:tr>
      <w:tr w:rsidR="00FF0FB4" w:rsidRPr="009E22E6" w:rsidTr="00B274D2">
        <w:trPr>
          <w:trHeight w:val="1565"/>
        </w:trPr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D15A58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t>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 đề cương,</w:t>
            </w:r>
            <w:r w:rsidRPr="009E22E6">
              <w:rPr>
                <w:lang w:val="en-US"/>
              </w:rPr>
              <w:t xml:space="preserve"> </w:t>
            </w:r>
            <w:r w:rsidRPr="009E22E6">
              <w:t>kết quả kiểm định an toàn đập, hồ</w:t>
            </w:r>
            <w:r w:rsidRPr="009E22E6">
              <w:rPr>
                <w:lang w:val="en-US"/>
              </w:rPr>
              <w:t xml:space="preserve"> </w:t>
            </w:r>
            <w:r w:rsidRPr="009E22E6">
              <w:t>chứa thủy lợi thuộc thẩm quyền</w:t>
            </w:r>
          </w:p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của UBND Cấp huyện</w:t>
            </w:r>
          </w:p>
        </w:tc>
        <w:tc>
          <w:tcPr>
            <w:tcW w:w="1984" w:type="dxa"/>
            <w:vAlign w:val="center"/>
          </w:tcPr>
          <w:p w:rsidR="00FF0FB4" w:rsidRPr="00CC26F0" w:rsidRDefault="00FF0FB4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15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827" w:type="dxa"/>
            <w:vMerge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lang w:val="pt-BR"/>
              </w:rPr>
            </w:pPr>
          </w:p>
        </w:tc>
        <w:tc>
          <w:tcPr>
            <w:tcW w:w="1077" w:type="dxa"/>
            <w:vMerge/>
            <w:vAlign w:val="center"/>
          </w:tcPr>
          <w:p w:rsidR="00FF0FB4" w:rsidRPr="00FF0FB4" w:rsidRDefault="00FF0FB4" w:rsidP="0084778D">
            <w:pPr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3807" w:type="dxa"/>
            <w:vMerge w:val="restart"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rStyle w:val="fontstyle01"/>
                <w:sz w:val="28"/>
                <w:szCs w:val="28"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Luật Thủy lợi ngày 19/6/2017.</w:t>
            </w:r>
          </w:p>
          <w:p w:rsidR="00FF0FB4" w:rsidRPr="009E22E6" w:rsidRDefault="00FF0FB4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 xml:space="preserve">- Nghị định số 114/2018/NĐ-CP ngày 04/9/2018 của Chính </w:t>
            </w:r>
            <w:r w:rsidRPr="009E22E6">
              <w:rPr>
                <w:rStyle w:val="fontstyle01"/>
                <w:sz w:val="28"/>
                <w:szCs w:val="28"/>
                <w:lang w:val="nl-NL"/>
              </w:rPr>
              <w:lastRenderedPageBreak/>
              <w:t>phủ về quản lý an toàn đập, hồ chứa nước.</w:t>
            </w:r>
          </w:p>
        </w:tc>
      </w:tr>
      <w:tr w:rsidR="00FF0FB4" w:rsidRPr="009E22E6" w:rsidTr="00D15A58">
        <w:trPr>
          <w:trHeight w:val="3256"/>
        </w:trPr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D15A58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lastRenderedPageBreak/>
              <w:t>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 phương án</w:t>
            </w:r>
            <w:r w:rsidRPr="009E22E6">
              <w:rPr>
                <w:lang w:val="en-US"/>
              </w:rPr>
              <w:t xml:space="preserve"> </w:t>
            </w:r>
            <w:r w:rsidRPr="009E22E6">
              <w:t>ứng phó thiên tai cho công trình,</w:t>
            </w:r>
            <w:r w:rsidRPr="009E22E6">
              <w:rPr>
                <w:lang w:val="en-US"/>
              </w:rPr>
              <w:t xml:space="preserve"> </w:t>
            </w:r>
            <w:r w:rsidRPr="009E22E6">
              <w:t>vùng hạ du đập trong quá trình thi</w:t>
            </w:r>
            <w:r w:rsidRPr="009E22E6">
              <w:rPr>
                <w:lang w:val="en-US"/>
              </w:rPr>
              <w:t xml:space="preserve"> </w:t>
            </w:r>
            <w:r w:rsidRPr="009E22E6">
              <w:t>công thuộc thẩm quyền của UBND</w:t>
            </w:r>
            <w:r w:rsidRPr="009E22E6">
              <w:rPr>
                <w:lang w:val="en-US"/>
              </w:rPr>
              <w:t xml:space="preserve"> </w:t>
            </w:r>
            <w:r w:rsidRPr="009E22E6">
              <w:t>Cấp huyện (trên địa bàn từ 02 xã</w:t>
            </w:r>
            <w:r w:rsidRPr="009E22E6">
              <w:rPr>
                <w:lang w:val="en-US"/>
              </w:rPr>
              <w:t xml:space="preserve"> </w:t>
            </w:r>
            <w:r w:rsidRPr="009E22E6">
              <w:t>trở lên)</w:t>
            </w:r>
          </w:p>
        </w:tc>
        <w:tc>
          <w:tcPr>
            <w:tcW w:w="1984" w:type="dxa"/>
            <w:vAlign w:val="center"/>
          </w:tcPr>
          <w:p w:rsidR="00FF0FB4" w:rsidRPr="00CC26F0" w:rsidRDefault="00FF0FB4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20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827" w:type="dxa"/>
            <w:vAlign w:val="center"/>
          </w:tcPr>
          <w:p w:rsidR="00FF0FB4" w:rsidRPr="009E22E6" w:rsidRDefault="000128A0" w:rsidP="0084778D">
            <w:pPr>
              <w:spacing w:before="60" w:after="60"/>
              <w:jc w:val="both"/>
              <w:rPr>
                <w:lang w:val="pt-BR"/>
              </w:rPr>
            </w:pPr>
            <w:r w:rsidRPr="009E22E6">
              <w:rPr>
                <w:rStyle w:val="fontstyle01"/>
                <w:sz w:val="28"/>
                <w:szCs w:val="28"/>
              </w:rPr>
              <w:t>Nộp hồ sơ, nhận kết quả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giải quyết tại Bộ phận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Một cửa của UBND cấp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huyện thông qua các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cách thức sau:</w:t>
            </w:r>
            <w:r w:rsidRPr="009E22E6">
              <w:rPr>
                <w:color w:val="000000"/>
              </w:rPr>
              <w:br/>
            </w:r>
            <w:r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Trực tiếp.</w:t>
            </w:r>
            <w:r w:rsidRPr="009E22E6">
              <w:rPr>
                <w:color w:val="000000"/>
              </w:rPr>
              <w:br/>
            </w:r>
            <w:r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Qua dịch vụ bưu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chính.</w:t>
            </w:r>
            <w:r w:rsidRPr="009E22E6">
              <w:rPr>
                <w:color w:val="000000"/>
              </w:rPr>
              <w:br/>
            </w:r>
            <w:r>
              <w:rPr>
                <w:rStyle w:val="fontstyle01"/>
                <w:sz w:val="28"/>
                <w:szCs w:val="28"/>
                <w:lang w:val="en-US"/>
              </w:rPr>
              <w:t>-</w:t>
            </w:r>
            <w:r w:rsidRPr="009E22E6">
              <w:rPr>
                <w:rStyle w:val="fontstyle01"/>
                <w:sz w:val="28"/>
                <w:szCs w:val="28"/>
              </w:rPr>
              <w:t xml:space="preserve"> Trực tuyến tại địa chỉ: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0128A0">
                <w:rPr>
                  <w:rStyle w:val="Hyperlink"/>
                  <w:color w:val="000000" w:themeColor="text1"/>
                  <w:u w:val="none"/>
                </w:rPr>
                <w:t>dichvucong.quang</w:t>
              </w:r>
            </w:hyperlink>
            <w:r w:rsidRPr="009E22E6">
              <w:rPr>
                <w:rStyle w:val="fontstyle01"/>
                <w:sz w:val="28"/>
                <w:szCs w:val="28"/>
              </w:rPr>
              <w:t>ngai.g</w:t>
            </w:r>
            <w:r>
              <w:rPr>
                <w:rStyle w:val="fontstyle01"/>
                <w:sz w:val="28"/>
                <w:szCs w:val="28"/>
              </w:rPr>
              <w:t>ov.v</w:t>
            </w:r>
            <w:r>
              <w:rPr>
                <w:rStyle w:val="fontstyle01"/>
                <w:sz w:val="28"/>
                <w:szCs w:val="28"/>
                <w:lang w:val="en-US"/>
              </w:rPr>
              <w:t>n;</w:t>
            </w:r>
            <w:r>
              <w:rPr>
                <w:lang w:val="en-US"/>
              </w:rPr>
              <w:t xml:space="preserve"> hoặc </w:t>
            </w:r>
            <w:r w:rsidRPr="009E22E6">
              <w:rPr>
                <w:rStyle w:val="fontstyle01"/>
                <w:sz w:val="28"/>
                <w:szCs w:val="28"/>
              </w:rPr>
              <w:t>dichvucong.gov.vn</w:t>
            </w:r>
          </w:p>
        </w:tc>
        <w:tc>
          <w:tcPr>
            <w:tcW w:w="1077" w:type="dxa"/>
            <w:vAlign w:val="center"/>
          </w:tcPr>
          <w:p w:rsidR="00FF0FB4" w:rsidRPr="00FF0FB4" w:rsidRDefault="00FF0FB4" w:rsidP="0084778D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Không</w:t>
            </w:r>
          </w:p>
        </w:tc>
        <w:tc>
          <w:tcPr>
            <w:tcW w:w="3807" w:type="dxa"/>
            <w:vMerge/>
            <w:vAlign w:val="center"/>
          </w:tcPr>
          <w:p w:rsidR="00FF0FB4" w:rsidRPr="009E22E6" w:rsidRDefault="00FF0FB4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</w:p>
        </w:tc>
      </w:tr>
      <w:tr w:rsidR="00FF0FB4" w:rsidRPr="009E22E6" w:rsidTr="00D15A58">
        <w:trPr>
          <w:trHeight w:val="1980"/>
        </w:trPr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84778D">
            <w:pPr>
              <w:spacing w:line="240" w:lineRule="atLeast"/>
              <w:jc w:val="both"/>
              <w:rPr>
                <w:lang w:val="nl-NL"/>
              </w:rPr>
            </w:pPr>
            <w:r w:rsidRPr="009E22E6">
              <w:rPr>
                <w:lang w:val="nl-NL"/>
              </w:rPr>
              <w:t>04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 phương án</w:t>
            </w:r>
            <w:r w:rsidRPr="009E22E6">
              <w:rPr>
                <w:lang w:val="en-US"/>
              </w:rPr>
              <w:t xml:space="preserve"> </w:t>
            </w:r>
            <w:r w:rsidRPr="009E22E6">
              <w:t>ứng phó với tình huống khẩn cấp</w:t>
            </w:r>
            <w:r w:rsidRPr="009E22E6">
              <w:rPr>
                <w:lang w:val="en-US"/>
              </w:rPr>
              <w:t xml:space="preserve"> </w:t>
            </w:r>
            <w:r w:rsidRPr="009E22E6">
              <w:t>thuộc thẩm quyền của UBND Cấp</w:t>
            </w:r>
            <w:r w:rsidRPr="009E22E6">
              <w:rPr>
                <w:lang w:val="en-US"/>
              </w:rPr>
              <w:t xml:space="preserve"> </w:t>
            </w:r>
            <w:r w:rsidRPr="009E22E6">
              <w:t>huyện (trên đia bàn từ 02 xã trở</w:t>
            </w:r>
            <w:r w:rsidRPr="009E22E6">
              <w:rPr>
                <w:lang w:val="en-US"/>
              </w:rPr>
              <w:t xml:space="preserve"> </w:t>
            </w:r>
            <w:r w:rsidRPr="009E22E6">
              <w:t>lên)</w:t>
            </w:r>
          </w:p>
        </w:tc>
        <w:tc>
          <w:tcPr>
            <w:tcW w:w="1984" w:type="dxa"/>
            <w:vAlign w:val="center"/>
          </w:tcPr>
          <w:p w:rsidR="00FF0FB4" w:rsidRPr="00CC26F0" w:rsidRDefault="00FF0FB4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20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827" w:type="dxa"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lang w:val="pt-BR"/>
              </w:rPr>
            </w:pPr>
          </w:p>
        </w:tc>
        <w:tc>
          <w:tcPr>
            <w:tcW w:w="1077" w:type="dxa"/>
            <w:vAlign w:val="center"/>
          </w:tcPr>
          <w:p w:rsidR="00FF0FB4" w:rsidRPr="00FF0FB4" w:rsidRDefault="00FF0FB4" w:rsidP="0084778D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Không</w:t>
            </w:r>
          </w:p>
        </w:tc>
        <w:tc>
          <w:tcPr>
            <w:tcW w:w="3807" w:type="dxa"/>
            <w:vMerge/>
            <w:vAlign w:val="center"/>
          </w:tcPr>
          <w:p w:rsidR="00FF0FB4" w:rsidRPr="009E22E6" w:rsidRDefault="00FF0FB4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</w:p>
        </w:tc>
      </w:tr>
      <w:tr w:rsidR="00FF0FB4" w:rsidRPr="009E22E6" w:rsidTr="00D15A58">
        <w:trPr>
          <w:trHeight w:val="2178"/>
        </w:trPr>
        <w:tc>
          <w:tcPr>
            <w:tcW w:w="959" w:type="dxa"/>
            <w:shd w:val="clear" w:color="auto" w:fill="auto"/>
            <w:vAlign w:val="center"/>
          </w:tcPr>
          <w:p w:rsidR="00FF0FB4" w:rsidRPr="009E22E6" w:rsidRDefault="00FF0FB4" w:rsidP="0084778D">
            <w:pPr>
              <w:spacing w:line="240" w:lineRule="atLeast"/>
              <w:jc w:val="both"/>
              <w:rPr>
                <w:lang w:val="nl-NL"/>
              </w:rPr>
            </w:pPr>
            <w:r w:rsidRPr="009E22E6">
              <w:rPr>
                <w:lang w:val="nl-NL"/>
              </w:rPr>
              <w:t>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0FB4" w:rsidRPr="009E22E6" w:rsidRDefault="00FF0FB4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duyệt, điều chỉnh</w:t>
            </w:r>
            <w:r w:rsidRPr="009E22E6">
              <w:rPr>
                <w:lang w:val="en-US"/>
              </w:rPr>
              <w:t xml:space="preserve"> </w:t>
            </w:r>
            <w:r w:rsidRPr="009E22E6">
              <w:t>và công bố công khai quy trình vận</w:t>
            </w:r>
            <w:r w:rsidRPr="009E22E6">
              <w:rPr>
                <w:lang w:val="en-US"/>
              </w:rPr>
              <w:t xml:space="preserve"> </w:t>
            </w:r>
            <w:r w:rsidRPr="009E22E6">
              <w:t>hành hồ chứa nước thuộc thẩm</w:t>
            </w:r>
            <w:r w:rsidRPr="009E22E6">
              <w:rPr>
                <w:lang w:val="en-US"/>
              </w:rPr>
              <w:t xml:space="preserve"> </w:t>
            </w:r>
            <w:r w:rsidRPr="009E22E6">
              <w:t>quyền của UBND Cấp huyện</w:t>
            </w:r>
          </w:p>
        </w:tc>
        <w:tc>
          <w:tcPr>
            <w:tcW w:w="1984" w:type="dxa"/>
            <w:vAlign w:val="center"/>
          </w:tcPr>
          <w:p w:rsidR="00FF0FB4" w:rsidRPr="00CC26F0" w:rsidRDefault="00FF0FB4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30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827" w:type="dxa"/>
            <w:vAlign w:val="center"/>
          </w:tcPr>
          <w:p w:rsidR="00FF0FB4" w:rsidRPr="009E22E6" w:rsidRDefault="00FF0FB4" w:rsidP="0084778D">
            <w:pPr>
              <w:spacing w:before="60" w:after="60"/>
              <w:jc w:val="both"/>
              <w:rPr>
                <w:lang w:val="pt-BR"/>
              </w:rPr>
            </w:pPr>
          </w:p>
        </w:tc>
        <w:tc>
          <w:tcPr>
            <w:tcW w:w="1077" w:type="dxa"/>
            <w:vAlign w:val="center"/>
          </w:tcPr>
          <w:p w:rsidR="00FF0FB4" w:rsidRPr="00FF0FB4" w:rsidRDefault="00FF0FB4" w:rsidP="0084778D">
            <w:p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Không</w:t>
            </w:r>
          </w:p>
        </w:tc>
        <w:tc>
          <w:tcPr>
            <w:tcW w:w="3807" w:type="dxa"/>
            <w:vMerge/>
            <w:vAlign w:val="center"/>
          </w:tcPr>
          <w:p w:rsidR="00FF0FB4" w:rsidRPr="009E22E6" w:rsidRDefault="00FF0FB4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</w:p>
        </w:tc>
      </w:tr>
    </w:tbl>
    <w:p w:rsidR="00E82A00" w:rsidRPr="009E22E6" w:rsidRDefault="00E82A00" w:rsidP="00E82A00">
      <w:pPr>
        <w:spacing w:line="240" w:lineRule="atLeast"/>
        <w:jc w:val="both"/>
        <w:rPr>
          <w:b/>
          <w:lang w:val="en-US"/>
        </w:rPr>
      </w:pPr>
    </w:p>
    <w:p w:rsidR="000128A0" w:rsidRDefault="000128A0" w:rsidP="00E82A00">
      <w:pPr>
        <w:spacing w:line="240" w:lineRule="atLeast"/>
        <w:jc w:val="both"/>
        <w:rPr>
          <w:b/>
          <w:lang w:val="en-US"/>
        </w:rPr>
      </w:pPr>
    </w:p>
    <w:p w:rsidR="00D15A58" w:rsidRDefault="00D15A58" w:rsidP="00E82A00">
      <w:pPr>
        <w:spacing w:line="240" w:lineRule="atLeast"/>
        <w:jc w:val="both"/>
        <w:rPr>
          <w:b/>
          <w:lang w:val="en-US"/>
        </w:rPr>
      </w:pPr>
    </w:p>
    <w:p w:rsidR="00D15A58" w:rsidRDefault="00D15A58" w:rsidP="00E82A00">
      <w:pPr>
        <w:spacing w:line="240" w:lineRule="atLeast"/>
        <w:jc w:val="both"/>
        <w:rPr>
          <w:b/>
          <w:lang w:val="en-US"/>
        </w:rPr>
      </w:pPr>
    </w:p>
    <w:p w:rsidR="00D15A58" w:rsidRDefault="00D15A58" w:rsidP="00E82A00">
      <w:pPr>
        <w:spacing w:line="240" w:lineRule="atLeast"/>
        <w:jc w:val="both"/>
        <w:rPr>
          <w:b/>
          <w:lang w:val="en-US"/>
        </w:rPr>
      </w:pPr>
    </w:p>
    <w:p w:rsidR="00B378E3" w:rsidRDefault="00D15A58" w:rsidP="00E82A00">
      <w:pPr>
        <w:spacing w:line="240" w:lineRule="atLeast"/>
        <w:jc w:val="both"/>
        <w:rPr>
          <w:b/>
          <w:lang w:val="en-US"/>
        </w:rPr>
      </w:pPr>
      <w:r>
        <w:rPr>
          <w:b/>
          <w:lang w:val="en-US"/>
        </w:rPr>
        <w:tab/>
      </w:r>
    </w:p>
    <w:p w:rsidR="00E82A00" w:rsidRPr="009E22E6" w:rsidRDefault="00E82A00" w:rsidP="00E82A00">
      <w:pPr>
        <w:spacing w:line="240" w:lineRule="atLeast"/>
        <w:jc w:val="both"/>
        <w:rPr>
          <w:b/>
        </w:rPr>
      </w:pPr>
      <w:r w:rsidRPr="009E22E6">
        <w:rPr>
          <w:b/>
          <w:lang w:val="en-US"/>
        </w:rPr>
        <w:lastRenderedPageBreak/>
        <w:t>DANH MỤC THỦ TỤC HÀNH CHÍNH THUỘC THẨM QUYỀN GIẢI QUYẾT CỦA UBND CẤP XÃ (03 TTHC)</w:t>
      </w:r>
    </w:p>
    <w:tbl>
      <w:tblPr>
        <w:tblpPr w:leftFromText="180" w:rightFromText="180" w:vertAnchor="text" w:horzAnchor="margin" w:tblpXSpec="center" w:tblpY="228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3152"/>
        <w:gridCol w:w="1276"/>
        <w:gridCol w:w="4360"/>
      </w:tblGrid>
      <w:tr w:rsidR="00FF0FB4" w:rsidRPr="009E22E6" w:rsidTr="00D15A58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FF0FB4" w:rsidRPr="009E22E6" w:rsidRDefault="00FF0FB4" w:rsidP="0084778D">
            <w:pPr>
              <w:ind w:left="-142" w:right="-108"/>
              <w:jc w:val="center"/>
              <w:rPr>
                <w:b/>
              </w:rPr>
            </w:pPr>
            <w:r w:rsidRPr="009E22E6">
              <w:rPr>
                <w:b/>
              </w:rPr>
              <w:t>STT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en-US"/>
              </w:rPr>
            </w:pPr>
            <w:r w:rsidRPr="009E22E6">
              <w:rPr>
                <w:b/>
              </w:rPr>
              <w:t xml:space="preserve">Tên thủ tục </w:t>
            </w:r>
          </w:p>
          <w:p w:rsidR="00FF0FB4" w:rsidRPr="009E22E6" w:rsidRDefault="00FF0FB4" w:rsidP="0084778D">
            <w:pPr>
              <w:jc w:val="center"/>
              <w:rPr>
                <w:b/>
              </w:rPr>
            </w:pPr>
            <w:r w:rsidRPr="009E22E6">
              <w:rPr>
                <w:b/>
              </w:rPr>
              <w:t>hành chính</w:t>
            </w:r>
          </w:p>
        </w:tc>
        <w:tc>
          <w:tcPr>
            <w:tcW w:w="1843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Thời gian giải quyết</w:t>
            </w:r>
          </w:p>
        </w:tc>
        <w:tc>
          <w:tcPr>
            <w:tcW w:w="3152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 xml:space="preserve">Đia điểm, cách thức </w:t>
            </w:r>
          </w:p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thực hiện</w:t>
            </w:r>
          </w:p>
        </w:tc>
        <w:tc>
          <w:tcPr>
            <w:tcW w:w="1276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Phí, lệ phí</w:t>
            </w:r>
          </w:p>
        </w:tc>
        <w:tc>
          <w:tcPr>
            <w:tcW w:w="4360" w:type="dxa"/>
            <w:vAlign w:val="center"/>
          </w:tcPr>
          <w:p w:rsidR="00FF0FB4" w:rsidRPr="009E22E6" w:rsidRDefault="00FF0FB4" w:rsidP="0084778D">
            <w:pPr>
              <w:jc w:val="center"/>
              <w:rPr>
                <w:b/>
                <w:lang w:val="pt-BR"/>
              </w:rPr>
            </w:pPr>
            <w:r w:rsidRPr="009E22E6">
              <w:rPr>
                <w:b/>
                <w:lang w:val="pt-BR"/>
              </w:rPr>
              <w:t>Căn cứ pháp lý</w:t>
            </w:r>
          </w:p>
        </w:tc>
      </w:tr>
      <w:tr w:rsidR="00D15A58" w:rsidRPr="009E22E6" w:rsidTr="000C036D">
        <w:trPr>
          <w:trHeight w:val="2107"/>
        </w:trPr>
        <w:tc>
          <w:tcPr>
            <w:tcW w:w="675" w:type="dxa"/>
            <w:shd w:val="clear" w:color="auto" w:fill="auto"/>
            <w:vAlign w:val="center"/>
          </w:tcPr>
          <w:p w:rsidR="00D15A58" w:rsidRPr="009E22E6" w:rsidRDefault="00D15A58" w:rsidP="00FF0FB4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t>01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5A58" w:rsidRPr="009E22E6" w:rsidRDefault="00D15A58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 phương án ứng</w:t>
            </w:r>
            <w:r w:rsidRPr="009E22E6">
              <w:rPr>
                <w:lang w:val="en-US"/>
              </w:rPr>
              <w:t xml:space="preserve"> </w:t>
            </w:r>
            <w:r w:rsidRPr="009E22E6">
              <w:t>phó thiên tai cho công trình, vùng hạ</w:t>
            </w:r>
            <w:r w:rsidRPr="009E22E6">
              <w:rPr>
                <w:lang w:val="en-US"/>
              </w:rPr>
              <w:t xml:space="preserve"> </w:t>
            </w:r>
            <w:r w:rsidRPr="009E22E6">
              <w:t>du đập trong quá trình thi công thuộc</w:t>
            </w:r>
            <w:r w:rsidRPr="009E22E6">
              <w:rPr>
                <w:lang w:val="en-US"/>
              </w:rPr>
              <w:t xml:space="preserve"> </w:t>
            </w:r>
            <w:r w:rsidRPr="009E22E6">
              <w:t>thẩm quyền của UBND cấp xã.</w:t>
            </w:r>
          </w:p>
        </w:tc>
        <w:tc>
          <w:tcPr>
            <w:tcW w:w="1843" w:type="dxa"/>
            <w:vAlign w:val="center"/>
          </w:tcPr>
          <w:p w:rsidR="00D15A58" w:rsidRPr="00CC26F0" w:rsidRDefault="00D15A58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20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152" w:type="dxa"/>
            <w:vMerge w:val="restart"/>
            <w:vAlign w:val="center"/>
          </w:tcPr>
          <w:p w:rsidR="00D15A58" w:rsidRPr="009E22E6" w:rsidRDefault="00D15A58" w:rsidP="0084778D">
            <w:pPr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Nộp hồ sơ và nhận kết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quả giải quyết tại Bộ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phận Một cửa của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UBND cấp xã thông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qua các cách thức sau:</w:t>
            </w:r>
            <w:r w:rsidRPr="009E22E6">
              <w:rPr>
                <w:color w:val="000000"/>
              </w:rPr>
              <w:br/>
            </w:r>
            <w:r w:rsidRPr="009E22E6">
              <w:rPr>
                <w:rStyle w:val="fontstyle01"/>
                <w:sz w:val="28"/>
                <w:szCs w:val="28"/>
              </w:rPr>
              <w:t>- Trực tiếp.</w:t>
            </w:r>
            <w:r w:rsidRPr="009E22E6">
              <w:rPr>
                <w:color w:val="000000"/>
              </w:rPr>
              <w:br/>
            </w:r>
            <w:r w:rsidRPr="009E22E6">
              <w:rPr>
                <w:rStyle w:val="fontstyle01"/>
                <w:sz w:val="28"/>
                <w:szCs w:val="28"/>
              </w:rPr>
              <w:t>- Qua dịch vụ bưu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chính.</w:t>
            </w:r>
            <w:r w:rsidRPr="009E22E6">
              <w:rPr>
                <w:color w:val="000000"/>
              </w:rPr>
              <w:br/>
            </w:r>
            <w:r w:rsidRPr="009E22E6">
              <w:rPr>
                <w:rStyle w:val="fontstyle01"/>
                <w:sz w:val="28"/>
                <w:szCs w:val="28"/>
              </w:rPr>
              <w:t>- Trực tuyến tại địa chỉ:</w:t>
            </w:r>
            <w:r w:rsidRPr="009E22E6"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 w:rsidRPr="009E22E6">
              <w:rPr>
                <w:rStyle w:val="fontstyle01"/>
                <w:sz w:val="28"/>
                <w:szCs w:val="28"/>
              </w:rPr>
              <w:t>dichvucong.quangngai.gov.vn.</w:t>
            </w:r>
          </w:p>
        </w:tc>
        <w:tc>
          <w:tcPr>
            <w:tcW w:w="1276" w:type="dxa"/>
            <w:vMerge w:val="restart"/>
            <w:vAlign w:val="center"/>
          </w:tcPr>
          <w:p w:rsidR="00D15A58" w:rsidRPr="00FF0FB4" w:rsidRDefault="00D15A58" w:rsidP="0084778D">
            <w:pPr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Không</w:t>
            </w:r>
          </w:p>
        </w:tc>
        <w:tc>
          <w:tcPr>
            <w:tcW w:w="4360" w:type="dxa"/>
            <w:vMerge w:val="restart"/>
            <w:vAlign w:val="center"/>
          </w:tcPr>
          <w:p w:rsidR="00D15A58" w:rsidRPr="009E22E6" w:rsidRDefault="00D15A58" w:rsidP="0084778D">
            <w:pPr>
              <w:spacing w:before="60"/>
              <w:jc w:val="both"/>
              <w:rPr>
                <w:rStyle w:val="fontstyle01"/>
                <w:sz w:val="28"/>
                <w:szCs w:val="28"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Luật Thủy lợi ngày 19/6/2017.</w:t>
            </w:r>
          </w:p>
          <w:p w:rsidR="00D15A58" w:rsidRPr="009E22E6" w:rsidRDefault="00D15A58" w:rsidP="0084778D">
            <w:pPr>
              <w:widowControl w:val="0"/>
              <w:spacing w:before="60"/>
              <w:jc w:val="both"/>
              <w:rPr>
                <w:iCs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Nghị định số 114/2018/NĐ-CP ngày 04/9/2018 của Chính phủ về quản lý an toàn đập, hồ chứa nước.</w:t>
            </w:r>
          </w:p>
        </w:tc>
      </w:tr>
      <w:tr w:rsidR="00D15A58" w:rsidRPr="009E22E6" w:rsidTr="00D15A58">
        <w:trPr>
          <w:trHeight w:val="1537"/>
        </w:trPr>
        <w:tc>
          <w:tcPr>
            <w:tcW w:w="675" w:type="dxa"/>
            <w:shd w:val="clear" w:color="auto" w:fill="auto"/>
            <w:vAlign w:val="center"/>
          </w:tcPr>
          <w:p w:rsidR="00D15A58" w:rsidRPr="009E22E6" w:rsidRDefault="00D15A58" w:rsidP="00FF0FB4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t>02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5A58" w:rsidRPr="009E22E6" w:rsidRDefault="00D15A58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Thẩm định, phê duyệt phương án ứng</w:t>
            </w:r>
            <w:r w:rsidRPr="009E22E6">
              <w:rPr>
                <w:lang w:val="en-US"/>
              </w:rPr>
              <w:t xml:space="preserve"> </w:t>
            </w:r>
            <w:r w:rsidRPr="009E22E6">
              <w:t>phó với tình huống khẩn cấp thuộc</w:t>
            </w:r>
            <w:r w:rsidRPr="009E22E6">
              <w:rPr>
                <w:lang w:val="en-US"/>
              </w:rPr>
              <w:t xml:space="preserve"> </w:t>
            </w:r>
            <w:r w:rsidRPr="009E22E6">
              <w:t>thẩm quyền của UBND cấp xã.</w:t>
            </w:r>
          </w:p>
        </w:tc>
        <w:tc>
          <w:tcPr>
            <w:tcW w:w="1843" w:type="dxa"/>
            <w:vAlign w:val="center"/>
          </w:tcPr>
          <w:p w:rsidR="00D15A58" w:rsidRPr="00CC26F0" w:rsidRDefault="00D15A58" w:rsidP="0084778D">
            <w:pPr>
              <w:spacing w:before="120"/>
              <w:jc w:val="both"/>
              <w:rPr>
                <w:lang w:val="en-US"/>
              </w:rPr>
            </w:pPr>
            <w:r w:rsidRPr="009E22E6">
              <w:rPr>
                <w:rStyle w:val="fontstyle01"/>
                <w:sz w:val="28"/>
                <w:szCs w:val="28"/>
              </w:rPr>
              <w:t>20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152" w:type="dxa"/>
            <w:vMerge/>
            <w:vAlign w:val="center"/>
          </w:tcPr>
          <w:p w:rsidR="00D15A58" w:rsidRPr="00FF0FB4" w:rsidRDefault="00D15A58" w:rsidP="0084778D">
            <w:pPr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15A58" w:rsidRPr="009E22E6" w:rsidRDefault="00D15A58" w:rsidP="0084778D">
            <w:pPr>
              <w:spacing w:before="60" w:after="60"/>
              <w:jc w:val="both"/>
            </w:pPr>
          </w:p>
        </w:tc>
        <w:tc>
          <w:tcPr>
            <w:tcW w:w="4360" w:type="dxa"/>
            <w:vMerge/>
            <w:vAlign w:val="center"/>
          </w:tcPr>
          <w:p w:rsidR="00D15A58" w:rsidRPr="009E22E6" w:rsidRDefault="00D15A58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</w:p>
        </w:tc>
      </w:tr>
      <w:tr w:rsidR="00D15A58" w:rsidRPr="009E22E6" w:rsidTr="000C036D">
        <w:trPr>
          <w:trHeight w:val="3125"/>
        </w:trPr>
        <w:tc>
          <w:tcPr>
            <w:tcW w:w="675" w:type="dxa"/>
            <w:shd w:val="clear" w:color="auto" w:fill="auto"/>
            <w:vAlign w:val="center"/>
          </w:tcPr>
          <w:p w:rsidR="00D15A58" w:rsidRPr="009E22E6" w:rsidRDefault="00D15A58" w:rsidP="00FF0FB4">
            <w:pPr>
              <w:spacing w:line="240" w:lineRule="atLeast"/>
              <w:jc w:val="center"/>
              <w:rPr>
                <w:lang w:val="nl-NL"/>
              </w:rPr>
            </w:pPr>
            <w:r w:rsidRPr="009E22E6">
              <w:rPr>
                <w:lang w:val="nl-NL"/>
              </w:rPr>
              <w:t>03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5A58" w:rsidRPr="009E22E6" w:rsidRDefault="00D15A58" w:rsidP="00847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39" w:firstLine="5"/>
              <w:jc w:val="both"/>
            </w:pPr>
            <w:r w:rsidRPr="009E22E6">
              <w:t>Hỗ trợ đầu tư xây dựng phát triển thủy</w:t>
            </w:r>
            <w:r w:rsidRPr="009E22E6">
              <w:rPr>
                <w:lang w:val="en-US"/>
              </w:rPr>
              <w:t xml:space="preserve"> </w:t>
            </w:r>
            <w:r w:rsidRPr="009E22E6">
              <w:t>lợi nhỏ, thuỷ lợi nội đồng và tưới tiên</w:t>
            </w:r>
            <w:r w:rsidRPr="009E22E6">
              <w:rPr>
                <w:lang w:val="en-US"/>
              </w:rPr>
              <w:t xml:space="preserve"> </w:t>
            </w:r>
            <w:r w:rsidRPr="009E22E6">
              <w:t>tiến, tiết kiệm nước (Đối với nguồn</w:t>
            </w:r>
            <w:r w:rsidRPr="009E22E6">
              <w:rPr>
                <w:lang w:val="en-US"/>
              </w:rPr>
              <w:t xml:space="preserve"> </w:t>
            </w:r>
            <w:r w:rsidRPr="009E22E6">
              <w:t>vốn hỗ trợ trực tiếp, ngân sách địa</w:t>
            </w:r>
            <w:r w:rsidRPr="009E22E6">
              <w:rPr>
                <w:lang w:val="en-US"/>
              </w:rPr>
              <w:t xml:space="preserve"> </w:t>
            </w:r>
            <w:r w:rsidRPr="009E22E6">
              <w:t>phương và nguồn vốn hợp pháp khác</w:t>
            </w:r>
            <w:r w:rsidRPr="009E22E6">
              <w:rPr>
                <w:lang w:val="en-US"/>
              </w:rPr>
              <w:t xml:space="preserve"> </w:t>
            </w:r>
            <w:r w:rsidRPr="009E22E6">
              <w:t>của địa phương phân bổ dự toán cho</w:t>
            </w:r>
            <w:r w:rsidRPr="009E22E6">
              <w:rPr>
                <w:lang w:val="en-US"/>
              </w:rPr>
              <w:t xml:space="preserve"> </w:t>
            </w:r>
            <w:r w:rsidRPr="009E22E6">
              <w:t>UBND cấp xã thực hiện).</w:t>
            </w:r>
          </w:p>
        </w:tc>
        <w:tc>
          <w:tcPr>
            <w:tcW w:w="1843" w:type="dxa"/>
            <w:vAlign w:val="center"/>
          </w:tcPr>
          <w:p w:rsidR="00D15A58" w:rsidRPr="009E22E6" w:rsidRDefault="00D15A58" w:rsidP="0084778D">
            <w:pPr>
              <w:spacing w:before="120"/>
              <w:jc w:val="both"/>
              <w:rPr>
                <w:lang w:val="pt-BR"/>
              </w:rPr>
            </w:pPr>
            <w:r w:rsidRPr="009E22E6">
              <w:rPr>
                <w:rStyle w:val="fontstyle01"/>
                <w:sz w:val="28"/>
                <w:szCs w:val="28"/>
              </w:rPr>
              <w:t>07 ngày làm việc</w:t>
            </w:r>
            <w:r>
              <w:rPr>
                <w:rStyle w:val="fontstyle01"/>
                <w:sz w:val="28"/>
                <w:szCs w:val="28"/>
                <w:lang w:val="en-US"/>
              </w:rPr>
              <w:t xml:space="preserve"> </w:t>
            </w:r>
            <w:r>
              <w:rPr>
                <w:lang w:val="nl-NL"/>
              </w:rPr>
              <w:t>kể từ ngày nhận đủ hồ sơ hợp lệ</w:t>
            </w:r>
          </w:p>
        </w:tc>
        <w:tc>
          <w:tcPr>
            <w:tcW w:w="3152" w:type="dxa"/>
            <w:vMerge/>
            <w:vAlign w:val="center"/>
          </w:tcPr>
          <w:p w:rsidR="00D15A58" w:rsidRPr="00D15A58" w:rsidRDefault="00D15A58" w:rsidP="0084778D">
            <w:pPr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15A58" w:rsidRPr="00FF0FB4" w:rsidRDefault="00D15A58" w:rsidP="0084778D">
            <w:pPr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4360" w:type="dxa"/>
            <w:vAlign w:val="center"/>
          </w:tcPr>
          <w:p w:rsidR="00D15A58" w:rsidRPr="009E22E6" w:rsidRDefault="00D15A58" w:rsidP="0084778D">
            <w:pPr>
              <w:spacing w:before="60" w:after="60"/>
              <w:jc w:val="both"/>
              <w:rPr>
                <w:rStyle w:val="fontstyle01"/>
                <w:sz w:val="28"/>
                <w:szCs w:val="28"/>
                <w:lang w:val="nl-NL"/>
              </w:rPr>
            </w:pPr>
            <w:r w:rsidRPr="009E22E6">
              <w:rPr>
                <w:rStyle w:val="fontstyle01"/>
                <w:sz w:val="28"/>
                <w:szCs w:val="28"/>
                <w:lang w:val="nl-NL"/>
              </w:rPr>
              <w:t>- Luật Thủy lợi ngày 19/6/2017.</w:t>
            </w:r>
          </w:p>
          <w:p w:rsidR="00D15A58" w:rsidRPr="009E22E6" w:rsidRDefault="00D15A58" w:rsidP="0084778D">
            <w:pPr>
              <w:widowControl w:val="0"/>
              <w:spacing w:before="60" w:after="60"/>
              <w:jc w:val="both"/>
              <w:rPr>
                <w:iCs/>
                <w:lang w:val="nl-NL"/>
              </w:rPr>
            </w:pPr>
            <w:r w:rsidRPr="009E22E6">
              <w:rPr>
                <w:iCs/>
                <w:lang w:val="nl-NL"/>
              </w:rPr>
              <w:t xml:space="preserve">- Nghị định số 77/2018/NĐ-CP ngày 16/05/2018.của Chính phủ </w:t>
            </w:r>
            <w:r w:rsidRPr="009E22E6">
              <w:rPr>
                <w:color w:val="000000"/>
                <w:shd w:val="clear" w:color="auto" w:fill="FFFFFF"/>
              </w:rPr>
              <w:t>quy định hỗ trợ phát triển thủy lợi nhỏ, thủy lợi nội đồng và tưới tiên tiến, tiết kiệm nước</w:t>
            </w:r>
          </w:p>
        </w:tc>
      </w:tr>
    </w:tbl>
    <w:p w:rsidR="00BB2992" w:rsidRPr="00B378E3" w:rsidRDefault="00D15A58">
      <w:pPr>
        <w:rPr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0F7C7" wp14:editId="32EE5992">
                <wp:simplePos x="0" y="0"/>
                <wp:positionH relativeFrom="column">
                  <wp:posOffset>3930650</wp:posOffset>
                </wp:positionH>
                <wp:positionV relativeFrom="paragraph">
                  <wp:posOffset>5544347</wp:posOffset>
                </wp:positionV>
                <wp:extent cx="21526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F325" id="Straight Arrow Connector 1" o:spid="_x0000_s1026" type="#_x0000_t32" style="position:absolute;margin-left:309.5pt;margin-top:436.55pt;width:1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"/>
            </w:pict>
          </mc:Fallback>
        </mc:AlternateContent>
      </w:r>
    </w:p>
    <w:sectPr w:rsidR="00BB2992" w:rsidRPr="00B378E3" w:rsidSect="000C036D">
      <w:headerReference w:type="even" r:id="rId8"/>
      <w:headerReference w:type="default" r:id="rId9"/>
      <w:pgSz w:w="16834" w:h="11909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C4A" w:rsidRDefault="00A53C4A" w:rsidP="009A20F3">
      <w:r>
        <w:separator/>
      </w:r>
    </w:p>
  </w:endnote>
  <w:endnote w:type="continuationSeparator" w:id="0">
    <w:p w:rsidR="00A53C4A" w:rsidRDefault="00A53C4A" w:rsidP="009A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C4A" w:rsidRDefault="00A53C4A" w:rsidP="009A20F3">
      <w:r>
        <w:separator/>
      </w:r>
    </w:p>
  </w:footnote>
  <w:footnote w:type="continuationSeparator" w:id="0">
    <w:p w:rsidR="00A53C4A" w:rsidRDefault="00A53C4A" w:rsidP="009A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889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036D" w:rsidRDefault="000C03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036D" w:rsidRDefault="000C0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69197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036D" w:rsidRDefault="000C03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A20F3" w:rsidRDefault="009A2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A00"/>
    <w:rsid w:val="0000745D"/>
    <w:rsid w:val="000128A0"/>
    <w:rsid w:val="0007171E"/>
    <w:rsid w:val="00093D77"/>
    <w:rsid w:val="000C036D"/>
    <w:rsid w:val="00164CD4"/>
    <w:rsid w:val="00265012"/>
    <w:rsid w:val="00294DBC"/>
    <w:rsid w:val="00365ED0"/>
    <w:rsid w:val="004D1096"/>
    <w:rsid w:val="007A3CFE"/>
    <w:rsid w:val="009A20F3"/>
    <w:rsid w:val="009E22E6"/>
    <w:rsid w:val="009F1224"/>
    <w:rsid w:val="00A53C4A"/>
    <w:rsid w:val="00AD2781"/>
    <w:rsid w:val="00B274D2"/>
    <w:rsid w:val="00B378E3"/>
    <w:rsid w:val="00BB2992"/>
    <w:rsid w:val="00CC26F0"/>
    <w:rsid w:val="00D07AA5"/>
    <w:rsid w:val="00D12310"/>
    <w:rsid w:val="00D15A58"/>
    <w:rsid w:val="00DB7D88"/>
    <w:rsid w:val="00DD11E9"/>
    <w:rsid w:val="00E749E7"/>
    <w:rsid w:val="00E82A00"/>
    <w:rsid w:val="00F17164"/>
    <w:rsid w:val="00F37659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FB87"/>
  <w15:docId w15:val="{38401AD6-1E4F-42B1-80BF-203C0C4C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00"/>
    <w:pPr>
      <w:spacing w:line="240" w:lineRule="auto"/>
    </w:pPr>
    <w:rPr>
      <w:rFonts w:eastAsia="Times New Roman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A00"/>
    <w:rPr>
      <w:color w:val="0000FF"/>
      <w:u w:val="single"/>
    </w:rPr>
  </w:style>
  <w:style w:type="character" w:styleId="Emphasis">
    <w:name w:val="Emphasis"/>
    <w:qFormat/>
    <w:rsid w:val="00E82A00"/>
    <w:rPr>
      <w:i/>
      <w:iCs/>
    </w:rPr>
  </w:style>
  <w:style w:type="character" w:customStyle="1" w:styleId="fontstyle01">
    <w:name w:val="fontstyle01"/>
    <w:rsid w:val="00E82A0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4CharChar">
    <w:name w:val="Char Char4 Char Char"/>
    <w:basedOn w:val="Normal"/>
    <w:rsid w:val="00E82A00"/>
    <w:rPr>
      <w:rFonts w:ascii="Arial" w:hAnsi="Arial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A2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0F3"/>
    <w:rPr>
      <w:rFonts w:eastAsia="Times New Roman" w:cs="Times New Roman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A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0F3"/>
    <w:rPr>
      <w:rFonts w:eastAsia="Times New Roman" w:cs="Times New Roman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chvucong.qua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hvucong.qua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LUONG-NGUYEN</cp:lastModifiedBy>
  <cp:revision>10</cp:revision>
  <dcterms:created xsi:type="dcterms:W3CDTF">2025-04-26T03:59:00Z</dcterms:created>
  <dcterms:modified xsi:type="dcterms:W3CDTF">2025-05-22T03:00:00Z</dcterms:modified>
</cp:coreProperties>
</file>